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bookmarkStart w:id="0" w:name="_Hlk145491888"/>
      <w:r>
        <w:rPr>
          <w:b/>
          <w:sz w:val="24"/>
        </w:rPr>
        <w:t>3GPP TSG-CT WG1 Meeting #146</w:t>
      </w:r>
      <w:r>
        <w:rPr>
          <w:b/>
          <w:i/>
          <w:sz w:val="28"/>
        </w:rPr>
        <w:tab/>
      </w:r>
      <w:r>
        <w:rPr>
          <w:b/>
          <w:sz w:val="24"/>
        </w:rPr>
        <w:t>C1-24</w:t>
      </w:r>
      <w:r>
        <w:rPr>
          <w:rFonts w:hint="eastAsia" w:eastAsia="宋体"/>
          <w:b/>
          <w:sz w:val="24"/>
          <w:lang w:val="en-US" w:eastAsia="zh-CN"/>
        </w:rPr>
        <w:t>0109</w:t>
      </w:r>
    </w:p>
    <w:p>
      <w:pPr>
        <w:pStyle w:val="81"/>
        <w:outlineLvl w:val="0"/>
        <w:rPr>
          <w:b/>
          <w:sz w:val="24"/>
        </w:rPr>
      </w:pPr>
      <w:r>
        <w:rPr>
          <w:b/>
          <w:sz w:val="24"/>
        </w:rPr>
        <w:t>Online, 22– 26 January 2024</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24.229</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rFonts w:hint="eastAsia" w:eastAsia="宋体"/>
                <w:b/>
                <w:sz w:val="28"/>
                <w:lang w:val="en-US" w:eastAsia="zh-CN"/>
              </w:rPr>
              <w:t>6650</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b/>
                <w:sz w:val="28"/>
                <w:lang w:eastAsia="zh-CN"/>
              </w:rPr>
              <w:t>-</w:t>
            </w:r>
            <w:r>
              <w:rPr>
                <w:rFonts w:hint="eastAsia"/>
                <w:b/>
                <w:sz w:val="28"/>
                <w:lang w:eastAsia="zh-CN"/>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Pr>
                <w:rFonts w:hint="eastAsia" w:eastAsia="宋体"/>
                <w:b/>
                <w:sz w:val="28"/>
                <w:lang w:val="en-US" w:eastAsia="zh-CN"/>
              </w:rPr>
              <w:t>18.4.0</w:t>
            </w:r>
            <w:r>
              <w:rPr>
                <w:b/>
                <w:sz w:val="28"/>
              </w:rPr>
              <w:fldChar w:fldCharType="end"/>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pPr>
            <w:r>
              <w:rPr>
                <w:rFonts w:hint="eastAsia" w:eastAsia="宋体"/>
                <w:lang w:val="en-US" w:eastAsia="zh-CN"/>
              </w:rPr>
              <w:t>U</w:t>
            </w:r>
            <w:r>
              <w:t>pdat</w:t>
            </w:r>
            <w:r>
              <w:rPr>
                <w:rFonts w:hint="eastAsia" w:eastAsia="宋体"/>
                <w:lang w:val="en-US" w:eastAsia="zh-CN"/>
              </w:rPr>
              <w:t>e</w:t>
            </w:r>
            <w:r>
              <w:t xml:space="preserve"> </w:t>
            </w:r>
            <w:r>
              <w:rPr>
                <w:rFonts w:hint="eastAsia"/>
              </w:rPr>
              <w:t>the</w:t>
            </w:r>
            <w:r>
              <w:rPr>
                <w:rFonts w:hint="eastAsia" w:eastAsia="宋体"/>
                <w:lang w:val="en-US" w:eastAsia="zh-CN"/>
              </w:rPr>
              <w:t xml:space="preserve"> </w:t>
            </w:r>
            <w:r>
              <w:rPr>
                <w:rFonts w:hint="eastAsia"/>
              </w:rPr>
              <w:t>requirement of IMS</w:t>
            </w:r>
            <w:r>
              <w:rPr>
                <w:rFonts w:hint="eastAsia" w:eastAsia="宋体"/>
                <w:lang w:val="en-US" w:eastAsia="zh-CN"/>
              </w:rPr>
              <w:t xml:space="preserve"> </w:t>
            </w:r>
            <w:r>
              <w:rPr>
                <w:rFonts w:hint="eastAsia"/>
              </w:rPr>
              <w:t>Data</w:t>
            </w:r>
            <w:r>
              <w:rPr>
                <w:rFonts w:hint="eastAsia" w:eastAsia="宋体"/>
                <w:lang w:val="en-US" w:eastAsia="zh-CN"/>
              </w:rPr>
              <w:t xml:space="preserve"> </w:t>
            </w:r>
            <w:r>
              <w:rPr>
                <w:rFonts w:hint="eastAsia"/>
              </w:rPr>
              <w:t>Channel</w:t>
            </w:r>
            <w:r>
              <w:rPr>
                <w:rFonts w:hint="eastAsia" w:eastAsia="宋体"/>
                <w:lang w:val="en-US" w:eastAsia="zh-CN"/>
              </w:rPr>
              <w:t xml:space="preserve"> </w:t>
            </w:r>
            <w:r>
              <w:rPr>
                <w:rFonts w:hint="eastAsia"/>
              </w:rPr>
              <w:t>capability negotiation</w:t>
            </w:r>
            <w:r>
              <w:rPr>
                <w:rFonts w:hint="eastAsia" w:eastAsia="宋体"/>
                <w:lang w:val="en-US" w:eastAsia="zh-CN"/>
              </w:rPr>
              <w:t xml:space="preserve"> </w:t>
            </w:r>
            <w:r>
              <w:rPr>
                <w:rFonts w:hint="eastAsia"/>
              </w:rPr>
              <w:t>in</w:t>
            </w:r>
            <w:r>
              <w:rPr>
                <w:rFonts w:hint="eastAsia" w:eastAsia="宋体"/>
                <w:lang w:val="en-US" w:eastAsia="zh-CN"/>
              </w:rPr>
              <w:t xml:space="preserve"> </w:t>
            </w:r>
            <w:r>
              <w:rPr>
                <w:rFonts w:hint="eastAsia"/>
              </w:rPr>
              <w:t>TS24.229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China Mobile, </w:t>
            </w:r>
            <w:r>
              <w:rPr>
                <w:rFonts w:hint="eastAsia" w:ascii="Arial" w:hAnsi="Arial" w:eastAsia="宋体" w:cs="Times New Roman"/>
                <w:b w:val="0"/>
                <w:bCs w:val="0"/>
                <w:lang w:val="en-US" w:eastAsia="zh-CN"/>
              </w:rPr>
              <w:t>Huawei, HiSilicon</w:t>
            </w:r>
            <w:r>
              <w:rPr>
                <w:rFonts w:hint="eastAsia" w:eastAsia="宋体" w:cs="Times New Roman"/>
                <w:b w:val="0"/>
                <w:bCs w:val="0"/>
                <w:lang w:val="en-US" w:eastAsia="zh-CN"/>
              </w:rPr>
              <w:t>, China Southern Power Grid Co</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fldChar w:fldCharType="begin"/>
            </w:r>
            <w:r>
              <w:instrText xml:space="preserve"> DOCPROPERTY  RelatedWis  \* MERGEFORMAT </w:instrText>
            </w:r>
            <w:r>
              <w:fldChar w:fldCharType="separate"/>
            </w:r>
            <w:r>
              <w:rPr>
                <w:rFonts w:hint="eastAsia" w:eastAsia="宋体"/>
                <w:lang w:val="en-US" w:eastAsia="zh-CN"/>
              </w:rPr>
              <w:t>N</w:t>
            </w:r>
            <w:r>
              <w:fldChar w:fldCharType="end"/>
            </w:r>
            <w:r>
              <w:rPr>
                <w:rFonts w:hint="eastAsia" w:eastAsia="宋体"/>
                <w:lang w:val="en-US" w:eastAsia="zh-CN"/>
              </w:rPr>
              <w:t>G_RTC</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4</w:t>
            </w:r>
            <w:r>
              <w:t>-0</w:t>
            </w:r>
            <w:r>
              <w:rPr>
                <w:rFonts w:hint="eastAsia" w:eastAsia="宋体"/>
                <w:lang w:val="en-US" w:eastAsia="zh-CN"/>
              </w:rPr>
              <w:t>1</w:t>
            </w:r>
            <w:r>
              <w:t>-</w:t>
            </w:r>
            <w:r>
              <w:fldChar w:fldCharType="end"/>
            </w:r>
            <w:r>
              <w:rPr>
                <w:rFonts w:hint="eastAsia" w:eastAsia="宋体"/>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bookmarkStart w:id="3" w:name="_GoBack"/>
            <w:bookmarkEnd w:id="3"/>
            <w:r>
              <w:rPr>
                <w:rFonts w:hint="eastAsia" w:eastAsia="宋体"/>
                <w:b/>
                <w:lang w:val="en-US" w:eastAsia="zh-CN"/>
              </w:rPr>
              <w:t>C</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Release  \* MERGEFORMAT </w:instrText>
            </w:r>
            <w:r>
              <w:fldChar w:fldCharType="separate"/>
            </w:r>
            <w:r>
              <w:rPr>
                <w:rFonts w:hint="eastAsia" w:eastAsia="宋体"/>
                <w:lang w:val="en-US" w:eastAsia="zh-CN"/>
              </w:rPr>
              <w:t>R</w:t>
            </w:r>
            <w:r>
              <w:fldChar w:fldCharType="end"/>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lang w:val="en-US" w:eastAsia="zh-CN"/>
              </w:rPr>
              <w:t>For DC capability negotiation, it should be pointed out that the home network indicates DC capability only to the UE supporting DC capability.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lang w:eastAsia="zh-CN"/>
              </w:rPr>
              <w:t>I</w:t>
            </w:r>
            <w:r>
              <w:rPr>
                <w:lang w:eastAsia="zh-CN"/>
              </w:rPr>
              <w:t xml:space="preserve">t is proposed to </w:t>
            </w:r>
            <w:r>
              <w:rPr>
                <w:rFonts w:hint="eastAsia"/>
                <w:lang w:val="en-US" w:eastAsia="zh-CN"/>
              </w:rPr>
              <w:t>point out that the home network indicates DC capability only to the UE supporting DC capability</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eastAsia="zh-CN"/>
              </w:rPr>
              <w:t>I</w:t>
            </w:r>
            <w:r>
              <w:rPr>
                <w:lang w:eastAsia="zh-CN"/>
              </w:rPr>
              <w:t>ncomplete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5.4.1.2.2F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N</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N</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6"/>
      </w:pPr>
      <w:bookmarkStart w:id="2" w:name="_Toc146256861"/>
      <w:r>
        <w:t>5.4.1.2.2F</w:t>
      </w:r>
      <w:r>
        <w:tab/>
      </w:r>
      <w:r>
        <w:t>Successful registration</w:t>
      </w:r>
      <w:bookmarkEnd w:id="2"/>
    </w:p>
    <w:p>
      <w:r>
        <w:t>If a 200 (OK) response is to be sent for a REGISTER request, the S-CSCF shall, in addition to any contents identified elsewhere in subclause 5.4.1.2, include:</w:t>
      </w:r>
    </w:p>
    <w:p>
      <w:pPr>
        <w:pStyle w:val="75"/>
      </w:pPr>
      <w:r>
        <w:t>a)</w:t>
      </w:r>
      <w:r>
        <w:tab/>
      </w:r>
      <w:r>
        <w:t>the list of received Path header fields;</w:t>
      </w:r>
    </w:p>
    <w:p>
      <w:pPr>
        <w:pStyle w:val="75"/>
      </w:pPr>
      <w:r>
        <w:t>b)</w:t>
      </w:r>
      <w:r>
        <w:tab/>
      </w:r>
      <w:r>
        <w:t>a P-Associated-URI header field containing the list of the registered distinct public user identity and its associated set of implicitly registered distinct public user identities. The first URI in the list of public user identities supplied by the HSS to the S-CSCF will indicate the default public user identity to be used by the S-CSCF. The public user identity indicated as the default public user identity must be a registered public user identity. The S-CSCF shall place the default public user identity as the first entry in the list of URIs present in the P-Associated-URI header field. The default public user identity will be used by the P-CSCF in conjunction with the procedures for the P-Asserted-Identity header field, as described in subclause 5.2.6.3. If the S-CSCF received a display name from the HSS for a public user identity, then the S-CSCF shall populate the P-Associated-URI header field entry for that public identity with the associated display name. The S-CSCF shall not add a barred public user identity to the list of URIs in the P-Associated-URI header field;</w:t>
      </w:r>
    </w:p>
    <w:p>
      <w:pPr>
        <w:pStyle w:val="56"/>
      </w:pPr>
      <w:r>
        <w:t>NOTE 1:</w:t>
      </w:r>
      <w:r>
        <w:tab/>
      </w:r>
      <w:r>
        <w:t xml:space="preserve">The P-Associated-URI header field lists only the public user identity and its associated set of implicitly registered public user identities that have been registered, rather than the list of user's URIs that may be either registered or unregistered as specified in RFC 7315 [52]. </w:t>
      </w:r>
      <w:r>
        <w:rPr>
          <w:lang w:eastAsia="zh-CN"/>
        </w:rPr>
        <w:t xml:space="preserve">If the registered public user identity which is not barred does not have any other associated public user </w:t>
      </w:r>
      <w:r>
        <w:t>identities or wildcarded public user identities</w:t>
      </w:r>
      <w:r>
        <w:rPr>
          <w:lang w:eastAsia="zh-CN"/>
        </w:rPr>
        <w:t>, the P-Associated-URI header field lists only the registered public user identity itself. The P-Associated-URI header field does not list wildcarded public user identities.</w:t>
      </w:r>
    </w:p>
    <w:p>
      <w:pPr>
        <w:pStyle w:val="75"/>
      </w:pPr>
      <w:r>
        <w:t>c)</w:t>
      </w:r>
      <w:r>
        <w:tab/>
      </w:r>
      <w:r>
        <w:t>a Service-Route header field containing:</w:t>
      </w:r>
    </w:p>
    <w:p>
      <w:pPr>
        <w:pStyle w:val="76"/>
      </w:pPr>
      <w:r>
        <w:t>A)</w:t>
      </w:r>
      <w:r>
        <w:tab/>
      </w:r>
      <w:r>
        <w:t>the SIP URI identifying the S-CSCF containing an indication that subsequent requests routed via this service route (i.e. from the P-CSCF to the S-CSCF) was sent by the UE using either the contact address of the UE or the registration flow and the associated contact address (if the multiple registration mechanism is used) that has been registered and are treated as for the UE-originating case.</w:t>
      </w:r>
    </w:p>
    <w:p>
      <w:pPr>
        <w:pStyle w:val="56"/>
      </w:pPr>
      <w:r>
        <w:t>NOTE 2:</w:t>
      </w:r>
      <w:r>
        <w:tab/>
      </w:r>
      <w:r>
        <w:t>This indication can e.g. be in a parameter in the URI, a character string in the user part of the URI or be a port number in the URI.</w:t>
      </w:r>
    </w:p>
    <w:p>
      <w:pPr>
        <w:pStyle w:val="76"/>
      </w:pPr>
      <w:r>
        <w:tab/>
      </w:r>
      <w:r>
        <w:t>The S-CSCF shall use a different SIP URI for each registration. If the multiple registration mechanism is used, the S-CSCF shall also use a different SIP URI for each registration flow associated with the registration;</w:t>
      </w:r>
    </w:p>
    <w:p>
      <w:pPr>
        <w:pStyle w:val="76"/>
      </w:pPr>
      <w:r>
        <w:t>B)</w:t>
      </w:r>
      <w:r>
        <w:tab/>
      </w:r>
      <w:r>
        <w:t>if network topology hiding is required a SIP URI identifying an IBCF as the topmost entry; and</w:t>
      </w:r>
    </w:p>
    <w:p>
      <w:pPr>
        <w:pStyle w:val="56"/>
      </w:pPr>
      <w:r>
        <w:t>NOTE 3:</w:t>
      </w:r>
      <w:r>
        <w:tab/>
      </w:r>
      <w:r>
        <w:t>In accordance with the procedures described in RFC 3608 [38], an IBCF does not insert its own routable SIP URI to the Service-Route header field.</w:t>
      </w:r>
    </w:p>
    <w:p>
      <w:pPr>
        <w:pStyle w:val="76"/>
      </w:pPr>
      <w:r>
        <w:t>C)</w:t>
      </w:r>
      <w:r>
        <w:tab/>
      </w:r>
      <w:r>
        <w:t>if</w:t>
      </w:r>
    </w:p>
    <w:p>
      <w:pPr>
        <w:pStyle w:val="77"/>
      </w:pPr>
      <w:r>
        <w:t>1)</w:t>
      </w:r>
      <w:r>
        <w:tab/>
      </w:r>
      <w:r>
        <w:t>S-CSCF supports indicating the traffic leg associated with a URI as specified in RFC 7549 [225];</w:t>
      </w:r>
    </w:p>
    <w:p>
      <w:pPr>
        <w:pStyle w:val="77"/>
      </w:pPr>
      <w:r>
        <w:t>2)</w:t>
      </w:r>
      <w:r>
        <w:tab/>
      </w:r>
      <w:r>
        <w:t>the UE is roaming;</w:t>
      </w:r>
    </w:p>
    <w:p>
      <w:pPr>
        <w:pStyle w:val="77"/>
      </w:pPr>
      <w:r>
        <w:t>3)</w:t>
      </w:r>
      <w:r>
        <w:tab/>
      </w:r>
      <w:r>
        <w:t>the P-CSCF is not in the home network; and</w:t>
      </w:r>
    </w:p>
    <w:p>
      <w:pPr>
        <w:pStyle w:val="77"/>
      </w:pPr>
      <w:r>
        <w:t>4)</w:t>
      </w:r>
      <w:r>
        <w:tab/>
      </w:r>
      <w:r>
        <w:t>required by local policy</w:t>
      </w:r>
    </w:p>
    <w:p>
      <w:pPr>
        <w:pStyle w:val="76"/>
      </w:pPr>
      <w:r>
        <w:tab/>
      </w:r>
      <w:r>
        <w:t xml:space="preserve">then the S-CSCF may </w:t>
      </w:r>
      <w:r>
        <w:rPr>
          <w:lang w:eastAsia="ja-JP"/>
        </w:rPr>
        <w:t xml:space="preserve">append an "iotl" SIP URI parameter </w:t>
      </w:r>
      <w:r>
        <w:t xml:space="preserve">with a value </w:t>
      </w:r>
      <w:r>
        <w:rPr>
          <w:lang w:eastAsia="ja-JP"/>
        </w:rPr>
        <w:t>set to "visitedA-homeA" to the S-CSCF SIP URI in the Service-Route header field;</w:t>
      </w:r>
    </w:p>
    <w:p>
      <w:pPr>
        <w:pStyle w:val="75"/>
      </w:pPr>
      <w:r>
        <w:t>d)</w:t>
      </w:r>
      <w:r>
        <w:tab/>
      </w:r>
      <w:r>
        <w:t>if the P-CSCF is in the same network as the S-CSCF a P-Charging-Function-Addresses header field containing the values received from the HSS. It can be determined if the P-CSCF is in the same network as the S-CSCF by the contents of the P-Visited-Network-ID header field included in the REGISTER request;</w:t>
      </w:r>
    </w:p>
    <w:p>
      <w:pPr>
        <w:pStyle w:val="56"/>
      </w:pPr>
      <w:r>
        <w:t>NOTE 4:</w:t>
      </w:r>
      <w:r>
        <w:tab/>
      </w:r>
      <w:r>
        <w:t>The P-CSCF does not check the P-Charging-Function-Addresses header field, providing this header field to the visiting network could cause undefined charging behaviour.</w:t>
      </w:r>
    </w:p>
    <w:p>
      <w:pPr>
        <w:pStyle w:val="75"/>
      </w:pPr>
      <w:r>
        <w:t>e)</w:t>
      </w:r>
      <w:r>
        <w:tab/>
      </w:r>
      <w:r>
        <w:t>a P-Charging-Vector header field containing the "orig-ioi" header field parameter, if received in the REGISTER request, a type 1 "term-ioi" header field parameter</w:t>
      </w:r>
      <w:r>
        <w:rPr>
          <w:rFonts w:hint="eastAsia"/>
          <w:lang w:eastAsia="ja-JP"/>
        </w:rPr>
        <w:t xml:space="preserve"> and </w:t>
      </w:r>
      <w:r>
        <w:t>the "icid-value" header field parameter. The S-CSCF shall set the type 1 "term-ioi" header field parameter to a value that identifies the sending network of the response, the "orig-ioi" header field parameter is set to the previously received value of "orig-ioi" header field parameter</w:t>
      </w:r>
      <w:r>
        <w:rPr>
          <w:rFonts w:hint="eastAsia"/>
          <w:lang w:eastAsia="ja-JP"/>
        </w:rPr>
        <w:t xml:space="preserve"> and t</w:t>
      </w:r>
      <w:r>
        <w:t>he "icid-value" header field parameter is set to the previously received value of "icid-value" header field parameter</w:t>
      </w:r>
      <w:r>
        <w:rPr>
          <w:rFonts w:hint="eastAsia"/>
          <w:lang w:eastAsia="ja-JP"/>
        </w:rPr>
        <w:t xml:space="preserve"> in the request</w:t>
      </w:r>
      <w:r>
        <w:t>;</w:t>
      </w:r>
    </w:p>
    <w:p>
      <w:pPr>
        <w:pStyle w:val="75"/>
      </w:pPr>
      <w:r>
        <w:t>f)</w:t>
      </w:r>
      <w:r>
        <w:tab/>
      </w:r>
      <w:r>
        <w:t>a Contact header field listing all contact addresses for this public user identity, including all saved header field parameters and URI parameters (including all ICSI values and IARI values) received in the Contact header field of the REGISTER request,</w:t>
      </w:r>
    </w:p>
    <w:p>
      <w:pPr>
        <w:pStyle w:val="75"/>
      </w:pPr>
      <w:r>
        <w:t>g)</w:t>
      </w:r>
      <w:r>
        <w:tab/>
      </w:r>
      <w:r>
        <w:t>GRUUs in the Contact header field. If the REGISTER request contained a Required or Supported header field containing the value "gruu" then for each contact address in the Contact header field that has a "+sip.instance" header field parameter:</w:t>
      </w:r>
    </w:p>
    <w:p>
      <w:pPr>
        <w:pStyle w:val="76"/>
      </w:pPr>
      <w:r>
        <w:t>i)</w:t>
      </w:r>
      <w:r>
        <w:tab/>
      </w:r>
      <w:r>
        <w:t>add "pub-gruu" header field parameter containing the public GRUU representing (as specified in subclause 5.4.7A.2) the association between the public user identity from the To header field in the REGISTER request and the instance ID contained in the "+sip.instance" header field parameter;</w:t>
      </w:r>
    </w:p>
    <w:p>
      <w:pPr>
        <w:pStyle w:val="76"/>
      </w:pPr>
      <w:r>
        <w:t>ii)</w:t>
      </w:r>
      <w:r>
        <w:tab/>
      </w:r>
      <w:r>
        <w:t>if the Contact URI in the Contact header field does not contain a "bnc" URI parameter, then add a "temp-gruu" header field parameters. containing the most recently assigned temporary GRUU representing (as specified in subclause 5.4.7A) the association between the public user identity from the To header field in the REGISTER request and the instance ID contained in the "+sip.instance" header field parameter; and</w:t>
      </w:r>
    </w:p>
    <w:p>
      <w:pPr>
        <w:pStyle w:val="76"/>
      </w:pPr>
      <w:r>
        <w:t>iii)</w:t>
      </w:r>
      <w:r>
        <w:tab/>
      </w:r>
      <w:r>
        <w:t xml:space="preserve">if the S-CSCF supports </w:t>
      </w:r>
      <w:r>
        <w:rPr>
          <w:rFonts w:eastAsia="MS Mincho"/>
        </w:rPr>
        <w:t xml:space="preserve">RFC 6140 [191] and the </w:t>
      </w:r>
      <w:r>
        <w:t xml:space="preserve">Contact URI in the Contact header field contains a "bnc" URI parameter, then add a "temp-gruu-cookie" header field parameter containing a value generated as specified in </w:t>
      </w:r>
      <w:r>
        <w:rPr>
          <w:rFonts w:eastAsia="MS Mincho"/>
        </w:rPr>
        <w:t>RFC 6140 [191];</w:t>
      </w:r>
    </w:p>
    <w:p>
      <w:pPr>
        <w:pStyle w:val="75"/>
      </w:pPr>
      <w:r>
        <w:t>h)</w:t>
      </w:r>
      <w:r>
        <w:tab/>
      </w:r>
      <w:r>
        <w:t>if the received REGISTER request contained both a "reg-id" and "+sip.instance" header field parameters in the Contact header field, and the first URI within the Path header field contains the "ob" SIP URI parameter a Require header field with the "outbound" option-tag as described in RFC 5626 [92];</w:t>
      </w:r>
    </w:p>
    <w:p>
      <w:pPr>
        <w:pStyle w:val="56"/>
      </w:pPr>
      <w:r>
        <w:t>NOTE 5:</w:t>
      </w:r>
      <w:r>
        <w:tab/>
      </w:r>
      <w:r>
        <w:t>There might be other contact addresses available, that this UE or other UEs have registered for the same public user identity.</w:t>
      </w:r>
    </w:p>
    <w:p>
      <w:pPr>
        <w:pStyle w:val="75"/>
      </w:pPr>
      <w:r>
        <w:t>i)</w:t>
      </w:r>
      <w:r>
        <w:tab/>
      </w:r>
      <w:r>
        <w:t>void</w:t>
      </w:r>
    </w:p>
    <w:p>
      <w:pPr>
        <w:pStyle w:val="75"/>
      </w:pPr>
      <w:r>
        <w:t>j)</w:t>
      </w:r>
      <w:r>
        <w:tab/>
      </w:r>
      <w:r>
        <w:t xml:space="preserve">optionally, a Feature-Caps header field including the ICSI values contained in the service profile of the served user except the ones that require explicit support indication of capabilities by intermediary entities and that have not been indicated as supported according to RFC 6809 [190] for the corresponding registration or registration flow (if multiple registration mechanism is used); </w:t>
      </w:r>
    </w:p>
    <w:p>
      <w:pPr>
        <w:pStyle w:val="75"/>
      </w:pPr>
      <w:r>
        <w:t>k)</w:t>
      </w:r>
      <w:r>
        <w:tab/>
      </w:r>
      <w:r>
        <w:t>if the home network supports calling number verification using signature verification and attestation information, as defined in subclause 3.1,a Feature-Caps header field, as specified in RFC 6809 [190], including the "+g.3gpp.verstat" header field parameter;</w:t>
      </w:r>
    </w:p>
    <w:p>
      <w:pPr>
        <w:pStyle w:val="56"/>
        <w:rPr>
          <w:color w:val="000000"/>
        </w:rPr>
      </w:pPr>
      <w:r>
        <w:t>NOTE 6:</w:t>
      </w:r>
      <w:r>
        <w:tab/>
      </w:r>
      <w:r>
        <w:t xml:space="preserve">If the network </w:t>
      </w:r>
      <w:r>
        <w:rPr>
          <w:color w:val="000000"/>
        </w:rPr>
        <w:t>has indicated support for the calling number verification</w:t>
      </w:r>
      <w:r>
        <w:t xml:space="preserve"> using </w:t>
      </w:r>
      <w:r>
        <w:rPr>
          <w:lang w:eastAsia="ja-JP"/>
        </w:rPr>
        <w:t>signature verification and attestation information</w:t>
      </w:r>
      <w:r>
        <w:rPr>
          <w:color w:val="000000"/>
        </w:rPr>
        <w:t xml:space="preserve"> to a UE during registration, the network needs to perform calling number verification for all calls delivered to the registered contact address.</w:t>
      </w:r>
    </w:p>
    <w:p>
      <w:pPr>
        <w:pStyle w:val="75"/>
      </w:pPr>
      <w:r>
        <w:t>l)</w:t>
      </w:r>
      <w:r>
        <w:tab/>
      </w:r>
      <w:r>
        <w:t>if the home network supports the response code 607 (Unwanted) as specified in RFC 8197 [254], a Feature-Caps header field including the "+sip.607" header field parameter; and</w:t>
      </w:r>
    </w:p>
    <w:p>
      <w:pPr>
        <w:pStyle w:val="75"/>
        <w:rPr>
          <w:ins w:id="0" w:author="CMCC v1" w:date="2024-01-08T19:46:21Z"/>
          <w:rFonts w:hint="eastAsia"/>
          <w:lang w:val="en-US" w:eastAsia="zh-CN"/>
        </w:rPr>
      </w:pPr>
      <w:r>
        <w:rPr>
          <w:rFonts w:hint="eastAsia"/>
          <w:lang w:eastAsia="zh-CN"/>
        </w:rPr>
        <w:t>m</w:t>
      </w:r>
      <w:r>
        <w:rPr>
          <w:lang w:eastAsia="zh-CN"/>
        </w:rPr>
        <w:t>)</w:t>
      </w:r>
      <w:r>
        <w:rPr>
          <w:lang w:eastAsia="zh-CN"/>
        </w:rPr>
        <w:tab/>
      </w:r>
      <w:r>
        <w:rPr>
          <w:lang w:eastAsia="zh-CN"/>
        </w:rPr>
        <w:t>if the home network supports the data channel</w:t>
      </w:r>
      <w:ins w:id="1" w:author="CMCC v1" w:date="2024-01-08T19:43:03Z">
        <w:r>
          <w:rPr>
            <w:rFonts w:hint="eastAsia"/>
            <w:lang w:val="en-US" w:eastAsia="zh-CN"/>
          </w:rPr>
          <w:t xml:space="preserve"> capability</w:t>
        </w:r>
      </w:ins>
      <w:r>
        <w:rPr>
          <w:lang w:eastAsia="zh-CN"/>
        </w:rPr>
        <w:t xml:space="preserve">, </w:t>
      </w:r>
      <w:ins w:id="2" w:author="CMCC v1" w:date="2024-01-08T19:43:11Z">
        <w:r>
          <w:rPr/>
          <w:t xml:space="preserve">and the UE has indicated </w:t>
        </w:r>
      </w:ins>
      <w:ins w:id="3" w:author="CMCC v1" w:date="2024-01-08T19:43:11Z">
        <w:r>
          <w:rPr>
            <w:rFonts w:hint="eastAsia" w:eastAsia="宋体"/>
            <w:lang w:val="en-US" w:eastAsia="zh-CN"/>
          </w:rPr>
          <w:t xml:space="preserve">the </w:t>
        </w:r>
      </w:ins>
      <w:ins w:id="4" w:author="CMCC v1" w:date="2024-01-08T19:43:11Z">
        <w:r>
          <w:rPr/>
          <w:t>support of data channel in REGISTER request</w:t>
        </w:r>
      </w:ins>
      <w:ins w:id="5" w:author="CMCC v1" w:date="2024-01-08T19:43:11Z">
        <w:r>
          <w:rPr>
            <w:rFonts w:hint="eastAsia" w:eastAsia="宋体"/>
            <w:lang w:val="en-US" w:eastAsia="zh-CN"/>
          </w:rPr>
          <w:t xml:space="preserve">, </w:t>
        </w:r>
      </w:ins>
      <w:r>
        <w:rPr>
          <w:lang w:eastAsia="zh-CN"/>
        </w:rPr>
        <w:t>a Feature-Caps header field, as specified in clause</w:t>
      </w:r>
      <w:r>
        <w:rPr>
          <w:lang w:val="en-US" w:eastAsia="zh-CN"/>
        </w:rPr>
        <w:t> </w:t>
      </w:r>
      <w:r>
        <w:rPr>
          <w:lang w:eastAsia="zh-CN"/>
        </w:rPr>
        <w:t>B.1.1 of 3GPP</w:t>
      </w:r>
      <w:r>
        <w:rPr>
          <w:lang w:val="en-US" w:eastAsia="zh-CN"/>
        </w:rPr>
        <w:t> </w:t>
      </w:r>
      <w:r>
        <w:rPr>
          <w:lang w:eastAsia="zh-CN"/>
        </w:rPr>
        <w:t>TS</w:t>
      </w:r>
      <w:r>
        <w:rPr>
          <w:lang w:val="en-US" w:eastAsia="zh-CN"/>
        </w:rPr>
        <w:t> </w:t>
      </w:r>
      <w:r>
        <w:rPr>
          <w:lang w:eastAsia="zh-CN"/>
        </w:rPr>
        <w:t>24.186</w:t>
      </w:r>
      <w:r>
        <w:rPr>
          <w:lang w:val="en-US" w:eastAsia="zh-CN"/>
        </w:rPr>
        <w:t> </w:t>
      </w:r>
      <w:r>
        <w:rPr>
          <w:lang w:eastAsia="zh-CN"/>
        </w:rPr>
        <w:t xml:space="preserve">[297], </w:t>
      </w:r>
      <w:ins w:id="6" w:author="Xueqian Bai" w:date="2024-01-08T19:35:56Z">
        <w:r>
          <w:rPr>
            <w:rFonts w:hint="eastAsia" w:eastAsia="宋体"/>
            <w:lang w:val="en-US" w:eastAsia="zh-CN"/>
          </w:rPr>
          <w:t xml:space="preserve"> </w:t>
        </w:r>
      </w:ins>
      <w:r>
        <w:rPr>
          <w:lang w:eastAsia="zh-CN"/>
        </w:rPr>
        <w:t>including the "+g.3gpp.datachannel" header field parameter</w:t>
      </w:r>
      <w:ins w:id="7" w:author="CMCC v1" w:date="2024-01-08T19:43:23Z">
        <w:r>
          <w:rPr>
            <w:rFonts w:hint="eastAsia"/>
            <w:lang w:val="en-US" w:eastAsia="zh-CN"/>
          </w:rPr>
          <w:t>;</w:t>
        </w:r>
      </w:ins>
    </w:p>
    <w:p>
      <w:pPr>
        <w:pStyle w:val="56"/>
        <w:rPr>
          <w:ins w:id="8" w:author="Xu" w:date="2024-01-11T17:27:18Z"/>
        </w:rPr>
      </w:pPr>
      <w:ins w:id="9" w:author="Xu" w:date="2024-01-11T17:27:18Z">
        <w:r>
          <w:rPr/>
          <w:t>NOTE </w:t>
        </w:r>
      </w:ins>
      <w:ins w:id="10" w:author="Xu" w:date="2024-01-11T17:27:25Z">
        <w:r>
          <w:rPr>
            <w:rFonts w:hint="eastAsia" w:eastAsia="宋体"/>
            <w:lang w:val="en-US" w:eastAsia="zh-CN"/>
          </w:rPr>
          <w:t>7</w:t>
        </w:r>
      </w:ins>
      <w:ins w:id="11" w:author="Xu" w:date="2024-01-11T17:27:18Z">
        <w:r>
          <w:rPr/>
          <w:t>:</w:t>
        </w:r>
      </w:ins>
      <w:ins w:id="12" w:author="Xu" w:date="2024-01-11T17:27:18Z">
        <w:r>
          <w:rPr/>
          <w:tab/>
        </w:r>
      </w:ins>
      <w:ins w:id="13" w:author="Xu" w:date="2024-01-11T17:27:54Z">
        <w:r>
          <w:rPr>
            <w:rFonts w:hint="default"/>
            <w:lang w:val="en-US" w:eastAsia="zh-CN"/>
          </w:rPr>
          <w:t>m) also applies to reregistration</w:t>
        </w:r>
      </w:ins>
      <w:ins w:id="14" w:author="Xu" w:date="2024-01-11T17:27:18Z">
        <w:r>
          <w:rPr/>
          <w:t>.</w:t>
        </w:r>
      </w:ins>
    </w:p>
    <w:p>
      <w:r>
        <w:t>and send the so created 200 (OK) response to the UE.</w:t>
      </w:r>
    </w:p>
    <w:p>
      <w:r>
        <w:t>For all service profiles in the implicit registration set, the S-CSCF shall send a third-party REGISTER request, as described in subclause 5.4.1.7, to each AS that matches the Filter Criteria of the service profile from the HSS for the REGISTER event; and,</w:t>
      </w:r>
    </w:p>
    <w:p>
      <w:pPr>
        <w:pStyle w:val="56"/>
      </w:pPr>
      <w:r>
        <w:t>NOTE </w:t>
      </w:r>
      <w:del w:id="15" w:author="CMCC v1" w:date="2024-01-08T19:47:57Z">
        <w:r>
          <w:rPr>
            <w:rFonts w:hint="default"/>
            <w:lang w:val="en-US"/>
          </w:rPr>
          <w:delText>7</w:delText>
        </w:r>
      </w:del>
      <w:ins w:id="16" w:author="CMCC v1" w:date="2024-01-08T19:47:57Z">
        <w:r>
          <w:rPr>
            <w:rFonts w:hint="eastAsia" w:eastAsia="宋体"/>
            <w:lang w:val="en-US" w:eastAsia="zh-CN"/>
          </w:rPr>
          <w:t>8</w:t>
        </w:r>
      </w:ins>
      <w:r>
        <w:t>:</w:t>
      </w:r>
      <w:r>
        <w:tab/>
      </w:r>
      <w:r>
        <w:t>If this registration is a reregistration</w:t>
      </w:r>
      <w:r>
        <w:rPr>
          <w:lang w:eastAsia="ja-JP"/>
        </w:rPr>
        <w:t>, the Filter Criteria already exists in the local data.</w:t>
      </w:r>
    </w:p>
    <w:p>
      <w:pPr>
        <w:pStyle w:val="56"/>
      </w:pPr>
      <w:r>
        <w:t>NOTE </w:t>
      </w:r>
      <w:del w:id="17" w:author="CMCC v1" w:date="2024-01-08T19:47:59Z">
        <w:r>
          <w:rPr>
            <w:rFonts w:hint="default"/>
            <w:lang w:val="en-US"/>
          </w:rPr>
          <w:delText>8</w:delText>
        </w:r>
      </w:del>
      <w:ins w:id="18" w:author="CMCC v1" w:date="2024-01-08T19:47:59Z">
        <w:r>
          <w:rPr>
            <w:rFonts w:hint="eastAsia" w:eastAsia="宋体"/>
            <w:lang w:val="en-US" w:eastAsia="zh-CN"/>
          </w:rPr>
          <w:t>9</w:t>
        </w:r>
      </w:ins>
      <w:r>
        <w:t>:</w:t>
      </w:r>
      <w:r>
        <w:tab/>
      </w:r>
      <w:r>
        <w:t>If the same AS matches the Filter Criteria of several service profiles for the event of REGISTER request, then the AS will receive several third-party REGISTER requests. Each of these requests will include a public user identity from the corresponding service profile.</w:t>
      </w:r>
    </w:p>
    <w:p>
      <w:r>
        <w:t>The S-CSCF shall consider the public user identity being registered to be bound either to the contact address of the UE or to the registration flow and the associated contact address (if the multiple registration mechanism is used), as specified in the Contact header field, for the duration indicated in the registration expiration interval value.</w:t>
      </w:r>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 * End of Change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v1">
    <w15:presenceInfo w15:providerId="None" w15:userId="CMCC v1"/>
  </w15:person>
  <w15:person w15:author="Xueqian Bai">
    <w15:presenceInfo w15:providerId="None" w15:userId="Xueqian Bai"/>
  </w15:person>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51C0A9A"/>
    <w:rsid w:val="069C4126"/>
    <w:rsid w:val="0AF4446C"/>
    <w:rsid w:val="0DFF060C"/>
    <w:rsid w:val="106A2B1F"/>
    <w:rsid w:val="11B47436"/>
    <w:rsid w:val="1E29708C"/>
    <w:rsid w:val="21B45E42"/>
    <w:rsid w:val="2338043D"/>
    <w:rsid w:val="25922554"/>
    <w:rsid w:val="25FC2044"/>
    <w:rsid w:val="26EB4701"/>
    <w:rsid w:val="292A336C"/>
    <w:rsid w:val="2B157122"/>
    <w:rsid w:val="350227F9"/>
    <w:rsid w:val="38093FFA"/>
    <w:rsid w:val="48C37541"/>
    <w:rsid w:val="4C947EB9"/>
    <w:rsid w:val="4ECC0AD3"/>
    <w:rsid w:val="54B04A57"/>
    <w:rsid w:val="5918497F"/>
    <w:rsid w:val="5F6E7FE6"/>
    <w:rsid w:val="5F83569D"/>
    <w:rsid w:val="60FC5A2B"/>
    <w:rsid w:val="646C512D"/>
    <w:rsid w:val="6BAB19B6"/>
    <w:rsid w:val="6BCB6EE5"/>
    <w:rsid w:val="6D712EFA"/>
    <w:rsid w:val="6DB756B7"/>
    <w:rsid w:val="72563DD9"/>
    <w:rsid w:val="74EB220A"/>
    <w:rsid w:val="77396E5B"/>
    <w:rsid w:val="7DCF7C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1821</Characters>
  <Lines>15</Lines>
  <Paragraphs>4</Paragraphs>
  <TotalTime>5</TotalTime>
  <ScaleCrop>false</ScaleCrop>
  <LinksUpToDate>false</LinksUpToDate>
  <CharactersWithSpaces>2002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Xu</cp:lastModifiedBy>
  <cp:lastPrinted>2411-12-31T00:00:00Z</cp:lastPrinted>
  <dcterms:modified xsi:type="dcterms:W3CDTF">2024-01-15T08:01:04Z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316EA8182F7F43589B58C9593CE853F9</vt:lpwstr>
  </property>
</Properties>
</file>